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F5DA9" w14:textId="77777777" w:rsidR="0045084C" w:rsidRDefault="0045084C">
      <w:pPr>
        <w:pStyle w:val="BodyText"/>
        <w:rPr>
          <w:rFonts w:ascii="Times New Roman"/>
          <w:sz w:val="20"/>
        </w:rPr>
      </w:pPr>
    </w:p>
    <w:p w14:paraId="6648E1C7" w14:textId="77777777" w:rsidR="0045084C" w:rsidRDefault="0045084C">
      <w:pPr>
        <w:pStyle w:val="BodyText"/>
        <w:spacing w:before="3"/>
        <w:rPr>
          <w:rFonts w:ascii="Times New Roman"/>
          <w:sz w:val="27"/>
        </w:rPr>
      </w:pPr>
    </w:p>
    <w:p w14:paraId="150A70C7" w14:textId="01139F08" w:rsidR="0045084C" w:rsidRDefault="00F035DA">
      <w:pPr>
        <w:pStyle w:val="BodyText"/>
        <w:ind w:left="4967"/>
        <w:rPr>
          <w:rFonts w:ascii="Times New Roman"/>
          <w:sz w:val="20"/>
        </w:rPr>
      </w:pPr>
      <w:r>
        <w:rPr>
          <w:rFonts w:ascii="Times New Roman"/>
          <w:noProof/>
          <w:sz w:val="20"/>
        </w:rPr>
        <mc:AlternateContent>
          <mc:Choice Requires="wps">
            <w:drawing>
              <wp:inline distT="0" distB="0" distL="0" distR="0" wp14:anchorId="1A060EA7" wp14:editId="4407FA21">
                <wp:extent cx="3672205" cy="538480"/>
                <wp:effectExtent l="0" t="1905" r="0" b="254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538480"/>
                        </a:xfrm>
                        <a:prstGeom prst="rect">
                          <a:avLst/>
                        </a:prstGeom>
                        <a:solidFill>
                          <a:srgbClr val="FF99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2A66C" w14:textId="77777777" w:rsidR="0045084C" w:rsidRDefault="004F397B">
                            <w:pPr>
                              <w:spacing w:before="42" w:line="246" w:lineRule="exact"/>
                              <w:ind w:left="462" w:right="464"/>
                              <w:jc w:val="center"/>
                              <w:rPr>
                                <w:b/>
                              </w:rPr>
                            </w:pPr>
                            <w:r>
                              <w:rPr>
                                <w:b/>
                              </w:rPr>
                              <w:t>Housing Education and Research Association</w:t>
                            </w:r>
                          </w:p>
                          <w:p w14:paraId="19B77FFD" w14:textId="77777777" w:rsidR="0045084C" w:rsidRDefault="004F397B">
                            <w:pPr>
                              <w:spacing w:line="216" w:lineRule="exact"/>
                              <w:ind w:left="462" w:right="457"/>
                              <w:jc w:val="center"/>
                              <w:rPr>
                                <w:sz w:val="20"/>
                              </w:rPr>
                            </w:pPr>
                            <w:r>
                              <w:rPr>
                                <w:sz w:val="20"/>
                              </w:rPr>
                              <w:t>581 Stargazer Way, Florence, MT 59833</w:t>
                            </w:r>
                          </w:p>
                          <w:p w14:paraId="2FB5BF0A" w14:textId="77777777" w:rsidR="0045084C" w:rsidRDefault="004F397B">
                            <w:pPr>
                              <w:spacing w:line="223" w:lineRule="exact"/>
                              <w:ind w:left="462" w:right="462"/>
                              <w:jc w:val="center"/>
                              <w:rPr>
                                <w:sz w:val="20"/>
                              </w:rPr>
                            </w:pPr>
                            <w:r>
                              <w:rPr>
                                <w:sz w:val="20"/>
                              </w:rPr>
                              <w:t>Phone: (406) 580-4836</w:t>
                            </w:r>
                          </w:p>
                        </w:txbxContent>
                      </wps:txbx>
                      <wps:bodyPr rot="0" vert="horz" wrap="square" lIns="0" tIns="0" rIns="0" bIns="0" anchor="t" anchorCtr="0" upright="1">
                        <a:noAutofit/>
                      </wps:bodyPr>
                    </wps:wsp>
                  </a:graphicData>
                </a:graphic>
              </wp:inline>
            </w:drawing>
          </mc:Choice>
          <mc:Fallback>
            <w:pict>
              <v:shapetype w14:anchorId="1A060EA7" id="_x0000_t202" coordsize="21600,21600" o:spt="202" path="m,l,21600r21600,l21600,xe">
                <v:stroke joinstyle="miter"/>
                <v:path gradientshapeok="t" o:connecttype="rect"/>
              </v:shapetype>
              <v:shape id="Text Box 8" o:spid="_x0000_s1026" type="#_x0000_t202" style="width:289.15pt;height:4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" fillcolor="#f93" stroked="f">
                <v:textbox inset="0,0,0,0">
                  <w:txbxContent>
                    <w:p w14:paraId="6D02A66C" w14:textId="77777777" w:rsidR="0045084C" w:rsidRDefault="004F397B">
                      <w:pPr>
                        <w:spacing w:before="42" w:line="246" w:lineRule="exact"/>
                        <w:ind w:left="462" w:right="464"/>
                        <w:jc w:val="center"/>
                        <w:rPr>
                          <w:b/>
                        </w:rPr>
                      </w:pPr>
                      <w:r>
                        <w:rPr>
                          <w:b/>
                        </w:rPr>
                        <w:t>Housing Education and Research Association</w:t>
                      </w:r>
                    </w:p>
                    <w:p w14:paraId="19B77FFD" w14:textId="77777777" w:rsidR="0045084C" w:rsidRDefault="004F397B">
                      <w:pPr>
                        <w:spacing w:line="216" w:lineRule="exact"/>
                        <w:ind w:left="462" w:right="457"/>
                        <w:jc w:val="center"/>
                        <w:rPr>
                          <w:sz w:val="20"/>
                        </w:rPr>
                      </w:pPr>
                      <w:r>
                        <w:rPr>
                          <w:sz w:val="20"/>
                        </w:rPr>
                        <w:t>581 Stargazer Way, Florence, MT 59833</w:t>
                      </w:r>
                    </w:p>
                    <w:p w14:paraId="2FB5BF0A" w14:textId="77777777" w:rsidR="0045084C" w:rsidRDefault="004F397B">
                      <w:pPr>
                        <w:spacing w:line="223" w:lineRule="exact"/>
                        <w:ind w:left="462" w:right="462"/>
                        <w:jc w:val="center"/>
                        <w:rPr>
                          <w:sz w:val="20"/>
                        </w:rPr>
                      </w:pPr>
                      <w:r>
                        <w:rPr>
                          <w:sz w:val="20"/>
                        </w:rPr>
                        <w:t>Phone: (406) 580-4836</w:t>
                      </w:r>
                    </w:p>
                  </w:txbxContent>
                </v:textbox>
                <w10:anchorlock/>
              </v:shape>
            </w:pict>
          </mc:Fallback>
        </mc:AlternateContent>
      </w:r>
    </w:p>
    <w:p w14:paraId="4C9541D5" w14:textId="77777777" w:rsidR="0045084C" w:rsidRDefault="004F397B">
      <w:pPr>
        <w:pStyle w:val="BodyText"/>
        <w:spacing w:before="5"/>
        <w:rPr>
          <w:rFonts w:ascii="Times New Roman"/>
          <w:sz w:val="13"/>
        </w:rPr>
      </w:pPr>
      <w:r>
        <w:rPr>
          <w:noProof/>
        </w:rPr>
        <w:drawing>
          <wp:anchor distT="0" distB="0" distL="0" distR="0" simplePos="0" relativeHeight="251654656" behindDoc="0" locked="0" layoutInCell="1" allowOverlap="1" wp14:anchorId="756CCE91" wp14:editId="6A3D8FD4">
            <wp:simplePos x="0" y="0"/>
            <wp:positionH relativeFrom="page">
              <wp:posOffset>3816477</wp:posOffset>
            </wp:positionH>
            <wp:positionV relativeFrom="paragraph">
              <wp:posOffset>123126</wp:posOffset>
            </wp:positionV>
            <wp:extent cx="3058529" cy="11906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058529" cy="119062"/>
                    </a:xfrm>
                    <a:prstGeom prst="rect">
                      <a:avLst/>
                    </a:prstGeom>
                  </pic:spPr>
                </pic:pic>
              </a:graphicData>
            </a:graphic>
          </wp:anchor>
        </w:drawing>
      </w:r>
    </w:p>
    <w:p w14:paraId="150B636B" w14:textId="77777777" w:rsidR="0045084C" w:rsidRDefault="0045084C">
      <w:pPr>
        <w:pStyle w:val="BodyText"/>
        <w:spacing w:before="6"/>
        <w:rPr>
          <w:rFonts w:ascii="Times New Roman"/>
          <w:sz w:val="18"/>
        </w:rPr>
      </w:pPr>
    </w:p>
    <w:p w14:paraId="70F1CDF2" w14:textId="4FD16B6D" w:rsidR="0045084C" w:rsidRDefault="00F035DA">
      <w:pPr>
        <w:pStyle w:val="BodyText"/>
        <w:tabs>
          <w:tab w:val="left" w:pos="4004"/>
          <w:tab w:val="left" w:pos="5347"/>
          <w:tab w:val="left" w:pos="6916"/>
        </w:tabs>
        <w:spacing w:before="95"/>
        <w:ind w:left="392"/>
      </w:pPr>
      <w:r>
        <w:rPr>
          <w:noProof/>
        </w:rPr>
        <mc:AlternateContent>
          <mc:Choice Requires="wps">
            <w:drawing>
              <wp:anchor distT="0" distB="0" distL="114300" distR="114300" simplePos="0" relativeHeight="251659776" behindDoc="0" locked="0" layoutInCell="1" allowOverlap="1" wp14:anchorId="5083083A" wp14:editId="6E3DB18D">
                <wp:simplePos x="0" y="0"/>
                <wp:positionH relativeFrom="column">
                  <wp:posOffset>4263390</wp:posOffset>
                </wp:positionH>
                <wp:positionV relativeFrom="paragraph">
                  <wp:posOffset>68580</wp:posOffset>
                </wp:positionV>
                <wp:extent cx="90805" cy="133350"/>
                <wp:effectExtent l="12065" t="8890" r="11430" b="1016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E7E83" id="Rectangle 7" o:spid="_x0000_s1026" style="position:absolute;margin-left:335.7pt;margin-top:5.4pt;width:7.1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"/>
            </w:pict>
          </mc:Fallback>
        </mc:AlternateContent>
      </w:r>
      <w:r>
        <w:rPr>
          <w:noProof/>
        </w:rPr>
        <mc:AlternateContent>
          <mc:Choice Requires="wps">
            <w:drawing>
              <wp:anchor distT="0" distB="0" distL="114300" distR="114300" simplePos="0" relativeHeight="251657728" behindDoc="0" locked="0" layoutInCell="1" allowOverlap="1" wp14:anchorId="5083083A" wp14:editId="606C6AE4">
                <wp:simplePos x="0" y="0"/>
                <wp:positionH relativeFrom="column">
                  <wp:posOffset>2414905</wp:posOffset>
                </wp:positionH>
                <wp:positionV relativeFrom="paragraph">
                  <wp:posOffset>68580</wp:posOffset>
                </wp:positionV>
                <wp:extent cx="90805" cy="133350"/>
                <wp:effectExtent l="11430" t="8890" r="1206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83138" id="Rectangle 5" o:spid="_x0000_s1026" style="position:absolute;margin-left:190.15pt;margin-top:5.4pt;width:7.1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"/>
            </w:pict>
          </mc:Fallback>
        </mc:AlternateContent>
      </w:r>
      <w:r>
        <w:rPr>
          <w:noProof/>
        </w:rPr>
        <mc:AlternateContent>
          <mc:Choice Requires="wps">
            <w:drawing>
              <wp:anchor distT="0" distB="0" distL="114300" distR="114300" simplePos="0" relativeHeight="251658752" behindDoc="0" locked="0" layoutInCell="1" allowOverlap="1" wp14:anchorId="5083083A" wp14:editId="6F8CF390">
                <wp:simplePos x="0" y="0"/>
                <wp:positionH relativeFrom="column">
                  <wp:posOffset>3253740</wp:posOffset>
                </wp:positionH>
                <wp:positionV relativeFrom="paragraph">
                  <wp:posOffset>68580</wp:posOffset>
                </wp:positionV>
                <wp:extent cx="90805" cy="133350"/>
                <wp:effectExtent l="12065" t="8890" r="11430" b="101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801FC" id="Rectangle 6" o:spid="_x0000_s1026" style="position:absolute;margin-left:256.2pt;margin-top:5.4pt;width:7.1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p+IAIAADo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"/>
            </w:pict>
          </mc:Fallback>
        </mc:AlternateContent>
      </w:r>
      <w:r w:rsidR="004F397B">
        <w:rPr>
          <w:noProof/>
        </w:rPr>
        <w:drawing>
          <wp:anchor distT="0" distB="0" distL="0" distR="0" simplePos="0" relativeHeight="251655680" behindDoc="1" locked="0" layoutInCell="1" allowOverlap="1" wp14:anchorId="56C39B4B" wp14:editId="29297FF0">
            <wp:simplePos x="0" y="0"/>
            <wp:positionH relativeFrom="page">
              <wp:posOffset>678981</wp:posOffset>
            </wp:positionH>
            <wp:positionV relativeFrom="paragraph">
              <wp:posOffset>-1293509</wp:posOffset>
            </wp:positionV>
            <wp:extent cx="2458515" cy="14382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458515" cy="1438275"/>
                    </a:xfrm>
                    <a:prstGeom prst="rect">
                      <a:avLst/>
                    </a:prstGeom>
                  </pic:spPr>
                </pic:pic>
              </a:graphicData>
            </a:graphic>
          </wp:anchor>
        </w:drawing>
      </w:r>
      <w:r w:rsidR="004F397B">
        <w:t>Please circle</w:t>
      </w:r>
      <w:r w:rsidR="004F397B">
        <w:rPr>
          <w:spacing w:val="-12"/>
        </w:rPr>
        <w:t xml:space="preserve"> </w:t>
      </w:r>
      <w:r w:rsidR="004F397B">
        <w:t>membership</w:t>
      </w:r>
      <w:r w:rsidR="004F397B">
        <w:rPr>
          <w:spacing w:val="-1"/>
        </w:rPr>
        <w:t xml:space="preserve"> </w:t>
      </w:r>
      <w:r w:rsidR="004F397B">
        <w:t>category:</w:t>
      </w:r>
      <w:r w:rsidR="00E40B87">
        <w:t xml:space="preserve">   </w:t>
      </w:r>
      <w:r w:rsidR="004F397B">
        <w:tab/>
        <w:t>ACTIVE</w:t>
      </w:r>
      <w:r w:rsidR="004F397B">
        <w:tab/>
        <w:t>STUDENT</w:t>
      </w:r>
      <w:r w:rsidR="004F397B">
        <w:tab/>
        <w:t>EMERITUS</w:t>
      </w:r>
    </w:p>
    <w:p w14:paraId="0776A119" w14:textId="3EC2AF90" w:rsidR="0045084C" w:rsidRDefault="0045084C">
      <w:pPr>
        <w:pStyle w:val="BodyText"/>
        <w:rPr>
          <w:sz w:val="19"/>
        </w:rPr>
      </w:pPr>
    </w:p>
    <w:p w14:paraId="6D0EEA03" w14:textId="77777777" w:rsidR="0045084C" w:rsidRDefault="004F397B">
      <w:pPr>
        <w:pStyle w:val="Heading3"/>
        <w:ind w:left="2913"/>
      </w:pPr>
      <w:r>
        <w:t>Membership year: January 1st to December 31st</w:t>
      </w:r>
    </w:p>
    <w:p w14:paraId="70345C30" w14:textId="77777777" w:rsidR="0045084C" w:rsidRDefault="0045084C">
      <w:pPr>
        <w:pStyle w:val="BodyText"/>
        <w:spacing w:before="4"/>
        <w:rPr>
          <w:b/>
          <w:sz w:val="19"/>
        </w:rPr>
      </w:pPr>
    </w:p>
    <w:p w14:paraId="23C19B3F" w14:textId="35429306" w:rsidR="0045084C" w:rsidRPr="008E0CD2" w:rsidRDefault="004F397B">
      <w:pPr>
        <w:pStyle w:val="BodyText"/>
        <w:spacing w:line="230" w:lineRule="auto"/>
        <w:ind w:left="392" w:right="236"/>
        <w:rPr>
          <w:sz w:val="20"/>
          <w:szCs w:val="20"/>
        </w:rPr>
      </w:pPr>
      <w:r w:rsidRPr="008E0CD2">
        <w:rPr>
          <w:sz w:val="20"/>
          <w:szCs w:val="20"/>
        </w:rPr>
        <w:t xml:space="preserve">ACTIVE: Any person/organization interested in the purposes of HERA. These members have voting privileges and receive the </w:t>
      </w:r>
      <w:r w:rsidRPr="008E0CD2">
        <w:rPr>
          <w:i/>
          <w:sz w:val="20"/>
          <w:szCs w:val="20"/>
        </w:rPr>
        <w:t xml:space="preserve">Housing &amp; Society </w:t>
      </w:r>
      <w:r w:rsidRPr="008E0CD2">
        <w:rPr>
          <w:sz w:val="20"/>
          <w:szCs w:val="20"/>
        </w:rPr>
        <w:t>journal. Libraries are not eligible.</w:t>
      </w:r>
    </w:p>
    <w:p w14:paraId="556D7276" w14:textId="77777777" w:rsidR="0045084C" w:rsidRPr="008E0CD2" w:rsidRDefault="0045084C">
      <w:pPr>
        <w:pStyle w:val="BodyText"/>
        <w:spacing w:before="9"/>
        <w:rPr>
          <w:sz w:val="20"/>
          <w:szCs w:val="20"/>
        </w:rPr>
      </w:pPr>
    </w:p>
    <w:p w14:paraId="62CD0A02" w14:textId="226514E0" w:rsidR="0045084C" w:rsidRPr="008E0CD2" w:rsidRDefault="004F397B">
      <w:pPr>
        <w:pStyle w:val="BodyText"/>
        <w:spacing w:line="225" w:lineRule="auto"/>
        <w:ind w:left="392" w:right="669"/>
        <w:jc w:val="both"/>
        <w:rPr>
          <w:sz w:val="20"/>
          <w:szCs w:val="20"/>
        </w:rPr>
      </w:pPr>
      <w:r w:rsidRPr="008E0CD2">
        <w:rPr>
          <w:sz w:val="20"/>
          <w:szCs w:val="20"/>
        </w:rPr>
        <w:t>STUDENT: Persons enrolled as students on at least a half-time basis. These members receive the Housing &amp;</w:t>
      </w:r>
      <w:r w:rsidRPr="008E0CD2">
        <w:rPr>
          <w:spacing w:val="-4"/>
          <w:sz w:val="20"/>
          <w:szCs w:val="20"/>
        </w:rPr>
        <w:t xml:space="preserve"> </w:t>
      </w:r>
      <w:r w:rsidRPr="008E0CD2">
        <w:rPr>
          <w:sz w:val="20"/>
          <w:szCs w:val="20"/>
        </w:rPr>
        <w:t>Society</w:t>
      </w:r>
      <w:r w:rsidRPr="008E0CD2">
        <w:rPr>
          <w:spacing w:val="-6"/>
          <w:sz w:val="20"/>
          <w:szCs w:val="20"/>
        </w:rPr>
        <w:t xml:space="preserve"> </w:t>
      </w:r>
      <w:r w:rsidRPr="008E0CD2">
        <w:rPr>
          <w:sz w:val="20"/>
          <w:szCs w:val="20"/>
        </w:rPr>
        <w:t>journal</w:t>
      </w:r>
      <w:r w:rsidRPr="008E0CD2">
        <w:rPr>
          <w:spacing w:val="-1"/>
          <w:sz w:val="20"/>
          <w:szCs w:val="20"/>
        </w:rPr>
        <w:t xml:space="preserve"> </w:t>
      </w:r>
      <w:r w:rsidRPr="008E0CD2">
        <w:rPr>
          <w:sz w:val="20"/>
          <w:szCs w:val="20"/>
        </w:rPr>
        <w:t>but</w:t>
      </w:r>
      <w:r w:rsidRPr="008E0CD2">
        <w:rPr>
          <w:spacing w:val="-2"/>
          <w:sz w:val="20"/>
          <w:szCs w:val="20"/>
        </w:rPr>
        <w:t xml:space="preserve"> </w:t>
      </w:r>
      <w:r w:rsidRPr="008E0CD2">
        <w:rPr>
          <w:sz w:val="20"/>
          <w:szCs w:val="20"/>
        </w:rPr>
        <w:t>do</w:t>
      </w:r>
      <w:r w:rsidRPr="008E0CD2">
        <w:rPr>
          <w:spacing w:val="-5"/>
          <w:sz w:val="20"/>
          <w:szCs w:val="20"/>
        </w:rPr>
        <w:t xml:space="preserve"> </w:t>
      </w:r>
      <w:r w:rsidRPr="008E0CD2">
        <w:rPr>
          <w:sz w:val="20"/>
          <w:szCs w:val="20"/>
        </w:rPr>
        <w:t>not</w:t>
      </w:r>
      <w:r w:rsidRPr="008E0CD2">
        <w:rPr>
          <w:spacing w:val="-3"/>
          <w:sz w:val="20"/>
          <w:szCs w:val="20"/>
        </w:rPr>
        <w:t xml:space="preserve"> </w:t>
      </w:r>
      <w:r w:rsidRPr="008E0CD2">
        <w:rPr>
          <w:sz w:val="20"/>
          <w:szCs w:val="20"/>
        </w:rPr>
        <w:t>have</w:t>
      </w:r>
      <w:r w:rsidRPr="008E0CD2">
        <w:rPr>
          <w:spacing w:val="-4"/>
          <w:sz w:val="20"/>
          <w:szCs w:val="20"/>
        </w:rPr>
        <w:t xml:space="preserve"> </w:t>
      </w:r>
      <w:r w:rsidRPr="008E0CD2">
        <w:rPr>
          <w:sz w:val="20"/>
          <w:szCs w:val="20"/>
        </w:rPr>
        <w:t>voting privileges.</w:t>
      </w:r>
      <w:r w:rsidRPr="008E0CD2">
        <w:rPr>
          <w:spacing w:val="-2"/>
          <w:sz w:val="20"/>
          <w:szCs w:val="20"/>
        </w:rPr>
        <w:t xml:space="preserve"> </w:t>
      </w:r>
      <w:r w:rsidRPr="008E0CD2">
        <w:rPr>
          <w:sz w:val="20"/>
          <w:szCs w:val="20"/>
        </w:rPr>
        <w:t>(Former</w:t>
      </w:r>
      <w:r w:rsidRPr="008E0CD2">
        <w:rPr>
          <w:spacing w:val="-1"/>
          <w:sz w:val="20"/>
          <w:szCs w:val="20"/>
        </w:rPr>
        <w:t xml:space="preserve"> </w:t>
      </w:r>
      <w:r w:rsidRPr="008E0CD2">
        <w:rPr>
          <w:sz w:val="20"/>
          <w:szCs w:val="20"/>
        </w:rPr>
        <w:t>active</w:t>
      </w:r>
      <w:r w:rsidRPr="008E0CD2">
        <w:rPr>
          <w:spacing w:val="-9"/>
          <w:sz w:val="20"/>
          <w:szCs w:val="20"/>
        </w:rPr>
        <w:t xml:space="preserve"> </w:t>
      </w:r>
      <w:r w:rsidRPr="008E0CD2">
        <w:rPr>
          <w:sz w:val="20"/>
          <w:szCs w:val="20"/>
        </w:rPr>
        <w:t>members</w:t>
      </w:r>
      <w:r w:rsidRPr="008E0CD2">
        <w:rPr>
          <w:spacing w:val="-6"/>
          <w:sz w:val="20"/>
          <w:szCs w:val="20"/>
        </w:rPr>
        <w:t xml:space="preserve"> </w:t>
      </w:r>
      <w:r w:rsidRPr="008E0CD2">
        <w:rPr>
          <w:sz w:val="20"/>
          <w:szCs w:val="20"/>
        </w:rPr>
        <w:t>who</w:t>
      </w:r>
      <w:r w:rsidRPr="008E0CD2">
        <w:rPr>
          <w:spacing w:val="-5"/>
          <w:sz w:val="20"/>
          <w:szCs w:val="20"/>
        </w:rPr>
        <w:t xml:space="preserve"> </w:t>
      </w:r>
      <w:r w:rsidRPr="008E0CD2">
        <w:rPr>
          <w:sz w:val="20"/>
          <w:szCs w:val="20"/>
        </w:rPr>
        <w:t>return</w:t>
      </w:r>
      <w:r w:rsidRPr="008E0CD2">
        <w:rPr>
          <w:spacing w:val="-4"/>
          <w:sz w:val="20"/>
          <w:szCs w:val="20"/>
        </w:rPr>
        <w:t xml:space="preserve"> </w:t>
      </w:r>
      <w:r w:rsidRPr="008E0CD2">
        <w:rPr>
          <w:sz w:val="20"/>
          <w:szCs w:val="20"/>
        </w:rPr>
        <w:t>to</w:t>
      </w:r>
      <w:r w:rsidRPr="008E0CD2">
        <w:rPr>
          <w:spacing w:val="-5"/>
          <w:sz w:val="20"/>
          <w:szCs w:val="20"/>
        </w:rPr>
        <w:t xml:space="preserve"> </w:t>
      </w:r>
      <w:r w:rsidRPr="008E0CD2">
        <w:rPr>
          <w:sz w:val="20"/>
          <w:szCs w:val="20"/>
        </w:rPr>
        <w:t>student</w:t>
      </w:r>
      <w:r w:rsidRPr="008E0CD2">
        <w:rPr>
          <w:spacing w:val="-2"/>
          <w:sz w:val="20"/>
          <w:szCs w:val="20"/>
        </w:rPr>
        <w:t xml:space="preserve"> </w:t>
      </w:r>
      <w:r w:rsidRPr="008E0CD2">
        <w:rPr>
          <w:sz w:val="20"/>
          <w:szCs w:val="20"/>
        </w:rPr>
        <w:t>status do not lose their voting</w:t>
      </w:r>
      <w:r w:rsidRPr="008E0CD2">
        <w:rPr>
          <w:spacing w:val="-6"/>
          <w:sz w:val="20"/>
          <w:szCs w:val="20"/>
        </w:rPr>
        <w:t xml:space="preserve"> </w:t>
      </w:r>
      <w:r w:rsidRPr="008E0CD2">
        <w:rPr>
          <w:sz w:val="20"/>
          <w:szCs w:val="20"/>
        </w:rPr>
        <w:t>rights.)</w:t>
      </w:r>
    </w:p>
    <w:p w14:paraId="6F05D334" w14:textId="77777777" w:rsidR="0045084C" w:rsidRPr="008E0CD2" w:rsidRDefault="0045084C">
      <w:pPr>
        <w:pStyle w:val="BodyText"/>
        <w:spacing w:before="1"/>
        <w:rPr>
          <w:sz w:val="20"/>
          <w:szCs w:val="20"/>
        </w:rPr>
      </w:pPr>
    </w:p>
    <w:p w14:paraId="6AAFD032" w14:textId="68DB4658" w:rsidR="0045084C" w:rsidRPr="008E0CD2" w:rsidRDefault="004F397B">
      <w:pPr>
        <w:pStyle w:val="BodyText"/>
        <w:spacing w:line="236" w:lineRule="exact"/>
        <w:ind w:left="392"/>
        <w:rPr>
          <w:sz w:val="20"/>
          <w:szCs w:val="20"/>
        </w:rPr>
      </w:pPr>
      <w:r w:rsidRPr="008E0CD2">
        <w:rPr>
          <w:sz w:val="20"/>
          <w:szCs w:val="20"/>
        </w:rPr>
        <w:t>EMERITUS: Any retired person who was formerly an active member. These members receive all the benefits and privileges of active membership.</w:t>
      </w:r>
    </w:p>
    <w:p w14:paraId="75D2EB39" w14:textId="77777777" w:rsidR="0045084C" w:rsidRPr="008E0CD2" w:rsidRDefault="004F397B">
      <w:pPr>
        <w:pStyle w:val="Heading3"/>
        <w:spacing w:before="214" w:line="236" w:lineRule="exact"/>
        <w:rPr>
          <w:sz w:val="20"/>
          <w:szCs w:val="20"/>
        </w:rPr>
      </w:pPr>
      <w:r w:rsidRPr="008E0CD2">
        <w:rPr>
          <w:sz w:val="20"/>
          <w:szCs w:val="20"/>
        </w:rPr>
        <w:t>Pricing:</w:t>
      </w:r>
    </w:p>
    <w:p w14:paraId="3796DA7A" w14:textId="77777777" w:rsidR="0045084C" w:rsidRPr="008E0CD2" w:rsidRDefault="004F397B">
      <w:pPr>
        <w:pStyle w:val="BodyText"/>
        <w:spacing w:before="9" w:line="223" w:lineRule="auto"/>
        <w:ind w:left="392" w:right="2931"/>
        <w:rPr>
          <w:sz w:val="20"/>
          <w:szCs w:val="20"/>
        </w:rPr>
      </w:pPr>
      <w:r w:rsidRPr="008E0CD2">
        <w:rPr>
          <w:sz w:val="20"/>
          <w:szCs w:val="20"/>
        </w:rPr>
        <w:t>Active: $125 or $130 online; Student: $55 or $60 online; Emeritus: $65 or $70 Mail payment to: HERA, 581 Stargazer Way, Florence, MT 59833</w:t>
      </w:r>
    </w:p>
    <w:p w14:paraId="31483C09" w14:textId="77777777" w:rsidR="0045084C" w:rsidRPr="008E0CD2" w:rsidRDefault="004F397B">
      <w:pPr>
        <w:pStyle w:val="BodyText"/>
        <w:spacing w:line="229" w:lineRule="exact"/>
        <w:ind w:left="392"/>
        <w:rPr>
          <w:sz w:val="20"/>
          <w:szCs w:val="20"/>
        </w:rPr>
      </w:pPr>
      <w:r w:rsidRPr="008E0CD2">
        <w:rPr>
          <w:sz w:val="20"/>
          <w:szCs w:val="20"/>
        </w:rPr>
        <w:t>Online payment (PayPal): housingeducators.org/membership</w:t>
      </w:r>
    </w:p>
    <w:p w14:paraId="3B33E436" w14:textId="77777777" w:rsidR="0045084C" w:rsidRPr="008E0CD2" w:rsidRDefault="004F397B">
      <w:pPr>
        <w:pStyle w:val="BodyText"/>
        <w:spacing w:line="236" w:lineRule="exact"/>
        <w:ind w:left="392"/>
        <w:rPr>
          <w:sz w:val="20"/>
          <w:szCs w:val="20"/>
        </w:rPr>
      </w:pPr>
      <w:r w:rsidRPr="008E0CD2">
        <w:rPr>
          <w:sz w:val="20"/>
          <w:szCs w:val="20"/>
        </w:rPr>
        <w:t xml:space="preserve">For questions, contact: Barbara Allen, Executive Director, </w:t>
      </w:r>
      <w:hyperlink r:id="rId7">
        <w:r w:rsidRPr="008E0CD2">
          <w:rPr>
            <w:sz w:val="20"/>
            <w:szCs w:val="20"/>
          </w:rPr>
          <w:t>heraballen@gmail.com</w:t>
        </w:r>
      </w:hyperlink>
    </w:p>
    <w:p w14:paraId="50C6B545" w14:textId="77777777" w:rsidR="0045084C" w:rsidRDefault="0045084C">
      <w:pPr>
        <w:pStyle w:val="BodyText"/>
        <w:rPr>
          <w:sz w:val="24"/>
        </w:rPr>
      </w:pPr>
    </w:p>
    <w:p w14:paraId="7225071B" w14:textId="77777777" w:rsidR="0045084C" w:rsidRDefault="004F397B">
      <w:pPr>
        <w:pStyle w:val="BodyText"/>
        <w:tabs>
          <w:tab w:val="left" w:pos="5124"/>
          <w:tab w:val="left" w:pos="8985"/>
          <w:tab w:val="left" w:pos="9019"/>
        </w:tabs>
        <w:spacing w:before="188" w:line="453" w:lineRule="auto"/>
        <w:ind w:left="392" w:right="1834"/>
        <w:jc w:val="both"/>
        <w:rPr>
          <w:rFonts w:ascii="Times New Roman"/>
        </w:rPr>
      </w:pPr>
      <w:r>
        <w:t>Name:</w:t>
      </w:r>
      <w:r>
        <w:rPr>
          <w:u w:val="single"/>
        </w:rPr>
        <w:t xml:space="preserve"> </w:t>
      </w:r>
      <w:r>
        <w:rPr>
          <w:u w:val="single"/>
        </w:rPr>
        <w:tab/>
      </w:r>
      <w:r>
        <w:t>_</w:t>
      </w:r>
      <w:r>
        <w:rPr>
          <w:u w:val="single"/>
        </w:rPr>
        <w:tab/>
      </w:r>
      <w:r>
        <w:rPr>
          <w:u w:val="single"/>
        </w:rPr>
        <w:tab/>
      </w:r>
      <w:r>
        <w:t xml:space="preserve"> University/Organization:</w:t>
      </w:r>
      <w:r>
        <w:rPr>
          <w:u w:val="single"/>
        </w:rPr>
        <w:t xml:space="preserve"> </w:t>
      </w:r>
      <w:r>
        <w:rPr>
          <w:u w:val="single"/>
        </w:rPr>
        <w:tab/>
      </w:r>
      <w:r>
        <w:t>_</w:t>
      </w:r>
      <w:r>
        <w:rPr>
          <w:u w:val="single"/>
        </w:rPr>
        <w:tab/>
      </w:r>
      <w:r>
        <w:rPr>
          <w:u w:val="single"/>
        </w:rPr>
        <w:tab/>
      </w:r>
      <w:r>
        <w:t xml:space="preserve"> Work</w:t>
      </w:r>
      <w:r>
        <w:rPr>
          <w:spacing w:val="-2"/>
        </w:rPr>
        <w:t xml:space="preserve"> </w:t>
      </w:r>
      <w:r>
        <w:t>Address:</w:t>
      </w:r>
      <w:r>
        <w:rPr>
          <w:spacing w:val="-3"/>
        </w:rPr>
        <w:t xml:space="preserve"> </w:t>
      </w:r>
      <w:r>
        <w:rPr>
          <w:rFonts w:ascii="Times New Roman"/>
          <w:u w:val="single"/>
        </w:rPr>
        <w:t xml:space="preserve"> </w:t>
      </w:r>
      <w:r>
        <w:rPr>
          <w:rFonts w:ascii="Times New Roman"/>
          <w:u w:val="single"/>
        </w:rPr>
        <w:tab/>
      </w:r>
      <w:r>
        <w:rPr>
          <w:rFonts w:ascii="Times New Roman"/>
          <w:u w:val="single"/>
        </w:rPr>
        <w:tab/>
      </w:r>
    </w:p>
    <w:p w14:paraId="118E9E5B" w14:textId="77777777" w:rsidR="0045084C" w:rsidRDefault="0045084C">
      <w:pPr>
        <w:spacing w:line="453" w:lineRule="auto"/>
        <w:jc w:val="both"/>
        <w:rPr>
          <w:rFonts w:ascii="Times New Roman"/>
        </w:rPr>
        <w:sectPr w:rsidR="0045084C">
          <w:type w:val="continuous"/>
          <w:pgSz w:w="12240" w:h="15840"/>
          <w:pgMar w:top="360" w:right="840" w:bottom="0" w:left="520" w:header="720" w:footer="720" w:gutter="0"/>
          <w:cols w:space="720"/>
        </w:sectPr>
      </w:pPr>
    </w:p>
    <w:p w14:paraId="275DD32A" w14:textId="77777777" w:rsidR="0045084C" w:rsidRDefault="004F397B">
      <w:pPr>
        <w:pStyle w:val="BodyText"/>
        <w:tabs>
          <w:tab w:val="left" w:pos="4647"/>
        </w:tabs>
        <w:spacing w:before="4"/>
        <w:ind w:left="392"/>
        <w:rPr>
          <w:rFonts w:ascii="Times New Roman"/>
        </w:rPr>
      </w:pPr>
      <w:r>
        <w:t>City:</w:t>
      </w:r>
      <w:r>
        <w:rPr>
          <w:spacing w:val="-2"/>
        </w:rPr>
        <w:t xml:space="preserve"> </w:t>
      </w:r>
      <w:r>
        <w:rPr>
          <w:rFonts w:ascii="Times New Roman"/>
          <w:u w:val="single"/>
        </w:rPr>
        <w:t xml:space="preserve"> </w:t>
      </w:r>
      <w:r>
        <w:rPr>
          <w:rFonts w:ascii="Times New Roman"/>
          <w:u w:val="single"/>
        </w:rPr>
        <w:tab/>
      </w:r>
    </w:p>
    <w:p w14:paraId="557ABE62" w14:textId="77777777" w:rsidR="0045084C" w:rsidRDefault="004F397B">
      <w:pPr>
        <w:pStyle w:val="BodyText"/>
        <w:tabs>
          <w:tab w:val="left" w:pos="2376"/>
        </w:tabs>
        <w:spacing w:before="4"/>
        <w:ind w:left="317"/>
        <w:rPr>
          <w:rFonts w:ascii="Times New Roman"/>
        </w:rPr>
      </w:pPr>
      <w:r>
        <w:br w:type="column"/>
      </w:r>
      <w:r>
        <w:t>State: _</w:t>
      </w:r>
      <w:r>
        <w:rPr>
          <w:rFonts w:ascii="Times New Roman"/>
          <w:u w:val="single"/>
        </w:rPr>
        <w:t xml:space="preserve"> </w:t>
      </w:r>
      <w:r>
        <w:rPr>
          <w:rFonts w:ascii="Times New Roman"/>
          <w:u w:val="single"/>
        </w:rPr>
        <w:tab/>
      </w:r>
    </w:p>
    <w:p w14:paraId="60E6A46B" w14:textId="77777777" w:rsidR="0045084C" w:rsidRDefault="004F397B">
      <w:pPr>
        <w:pStyle w:val="BodyText"/>
        <w:tabs>
          <w:tab w:val="left" w:pos="1779"/>
        </w:tabs>
        <w:spacing w:before="4"/>
        <w:ind w:left="87"/>
      </w:pPr>
      <w:r>
        <w:br w:type="column"/>
      </w:r>
      <w:r>
        <w:t>Zip:</w:t>
      </w:r>
      <w:r>
        <w:rPr>
          <w:u w:val="single"/>
        </w:rPr>
        <w:t xml:space="preserve"> </w:t>
      </w:r>
      <w:r>
        <w:rPr>
          <w:u w:val="single"/>
        </w:rPr>
        <w:tab/>
      </w:r>
      <w:r>
        <w:t>_</w:t>
      </w:r>
    </w:p>
    <w:p w14:paraId="0B3E8F84" w14:textId="77777777" w:rsidR="0045084C" w:rsidRDefault="0045084C">
      <w:pPr>
        <w:sectPr w:rsidR="0045084C">
          <w:type w:val="continuous"/>
          <w:pgSz w:w="12240" w:h="15840"/>
          <w:pgMar w:top="360" w:right="840" w:bottom="0" w:left="520" w:header="720" w:footer="720" w:gutter="0"/>
          <w:cols w:num="3" w:space="720" w:equalWidth="0">
            <w:col w:w="4648" w:space="40"/>
            <w:col w:w="2377" w:space="39"/>
            <w:col w:w="3776"/>
          </w:cols>
        </w:sectPr>
      </w:pPr>
    </w:p>
    <w:p w14:paraId="7A146AFB" w14:textId="77777777" w:rsidR="0045084C" w:rsidRDefault="0045084C">
      <w:pPr>
        <w:pStyle w:val="BodyText"/>
        <w:spacing w:before="5"/>
        <w:rPr>
          <w:sz w:val="10"/>
        </w:rPr>
      </w:pPr>
    </w:p>
    <w:p w14:paraId="7C590994" w14:textId="77777777" w:rsidR="0045084C" w:rsidRDefault="004F397B">
      <w:pPr>
        <w:pStyle w:val="BodyText"/>
        <w:tabs>
          <w:tab w:val="left" w:pos="9005"/>
        </w:tabs>
        <w:spacing w:before="95"/>
        <w:ind w:left="392"/>
        <w:rPr>
          <w:rFonts w:ascii="Times New Roman"/>
        </w:rPr>
      </w:pPr>
      <w:r>
        <w:t>Email:</w:t>
      </w:r>
      <w:r>
        <w:rPr>
          <w:spacing w:val="-2"/>
        </w:rPr>
        <w:t xml:space="preserve"> </w:t>
      </w:r>
      <w:r>
        <w:rPr>
          <w:rFonts w:ascii="Times New Roman"/>
          <w:u w:val="single"/>
        </w:rPr>
        <w:t xml:space="preserve"> </w:t>
      </w:r>
      <w:r>
        <w:rPr>
          <w:rFonts w:ascii="Times New Roman"/>
          <w:u w:val="single"/>
        </w:rPr>
        <w:tab/>
      </w:r>
    </w:p>
    <w:p w14:paraId="7ED17044" w14:textId="77777777" w:rsidR="0045084C" w:rsidRDefault="004F397B">
      <w:pPr>
        <w:pStyle w:val="BodyText"/>
        <w:tabs>
          <w:tab w:val="left" w:pos="9053"/>
        </w:tabs>
        <w:spacing w:before="214"/>
        <w:ind w:left="392"/>
        <w:rPr>
          <w:rFonts w:ascii="Times New Roman"/>
        </w:rPr>
      </w:pPr>
      <w:r>
        <w:t xml:space="preserve">Work </w:t>
      </w:r>
      <w:r>
        <w:rPr>
          <w:spacing w:val="-3"/>
        </w:rPr>
        <w:t>Phone:</w:t>
      </w:r>
      <w:r>
        <w:rPr>
          <w:spacing w:val="10"/>
        </w:rPr>
        <w:t xml:space="preserve"> </w:t>
      </w:r>
      <w:r>
        <w:t>_</w:t>
      </w:r>
      <w:r>
        <w:rPr>
          <w:rFonts w:ascii="Times New Roman"/>
          <w:u w:val="single"/>
        </w:rPr>
        <w:t xml:space="preserve"> </w:t>
      </w:r>
      <w:r>
        <w:rPr>
          <w:rFonts w:ascii="Times New Roman"/>
          <w:u w:val="single"/>
        </w:rPr>
        <w:tab/>
      </w:r>
    </w:p>
    <w:p w14:paraId="43CCEA7F" w14:textId="77777777" w:rsidR="0045084C" w:rsidRDefault="004F397B">
      <w:pPr>
        <w:pStyle w:val="Heading2"/>
        <w:tabs>
          <w:tab w:val="left" w:pos="9475"/>
        </w:tabs>
        <w:spacing w:before="215"/>
        <w:ind w:left="392"/>
        <w:rPr>
          <w:rFonts w:ascii="Times New Roman"/>
        </w:rPr>
      </w:pPr>
      <w:r>
        <w:t>Home</w:t>
      </w:r>
      <w:r>
        <w:rPr>
          <w:spacing w:val="-4"/>
        </w:rPr>
        <w:t xml:space="preserve"> </w:t>
      </w:r>
      <w:r>
        <w:t>Address:</w:t>
      </w:r>
      <w:r>
        <w:rPr>
          <w:spacing w:val="-3"/>
        </w:rPr>
        <w:t xml:space="preserve"> </w:t>
      </w:r>
      <w:r>
        <w:rPr>
          <w:rFonts w:ascii="Times New Roman"/>
          <w:u w:val="single"/>
        </w:rPr>
        <w:t xml:space="preserve"> </w:t>
      </w:r>
      <w:r>
        <w:rPr>
          <w:rFonts w:ascii="Times New Roman"/>
          <w:u w:val="single"/>
        </w:rPr>
        <w:tab/>
      </w:r>
    </w:p>
    <w:p w14:paraId="274CE57A" w14:textId="77777777" w:rsidR="0045084C" w:rsidRDefault="004F397B">
      <w:pPr>
        <w:spacing w:before="141"/>
        <w:ind w:left="104"/>
        <w:rPr>
          <w:b/>
          <w:sz w:val="20"/>
        </w:rPr>
      </w:pPr>
      <w:r>
        <w:rPr>
          <w:b/>
          <w:sz w:val="20"/>
        </w:rPr>
        <w:t>HERA Membership Includes:</w:t>
      </w:r>
    </w:p>
    <w:p w14:paraId="4C0C3CE8" w14:textId="77777777" w:rsidR="0045084C" w:rsidRDefault="004F397B">
      <w:pPr>
        <w:pStyle w:val="ListParagraph"/>
        <w:numPr>
          <w:ilvl w:val="0"/>
          <w:numId w:val="1"/>
        </w:numPr>
        <w:tabs>
          <w:tab w:val="left" w:pos="1184"/>
          <w:tab w:val="left" w:pos="1185"/>
        </w:tabs>
        <w:spacing w:line="245" w:lineRule="exact"/>
        <w:rPr>
          <w:b/>
          <w:i/>
          <w:sz w:val="20"/>
        </w:rPr>
      </w:pPr>
      <w:r>
        <w:rPr>
          <w:sz w:val="20"/>
        </w:rPr>
        <w:t xml:space="preserve">Subscription to the research journal </w:t>
      </w:r>
      <w:r>
        <w:rPr>
          <w:b/>
          <w:i/>
          <w:sz w:val="20"/>
        </w:rPr>
        <w:t>Housing &amp;</w:t>
      </w:r>
      <w:r>
        <w:rPr>
          <w:b/>
          <w:i/>
          <w:spacing w:val="-9"/>
          <w:sz w:val="20"/>
        </w:rPr>
        <w:t xml:space="preserve"> </w:t>
      </w:r>
      <w:r>
        <w:rPr>
          <w:b/>
          <w:i/>
          <w:sz w:val="20"/>
        </w:rPr>
        <w:t>Society</w:t>
      </w:r>
    </w:p>
    <w:p w14:paraId="0C8963FB" w14:textId="77777777" w:rsidR="0045084C" w:rsidRDefault="004F397B">
      <w:pPr>
        <w:pStyle w:val="ListParagraph"/>
        <w:numPr>
          <w:ilvl w:val="0"/>
          <w:numId w:val="1"/>
        </w:numPr>
        <w:tabs>
          <w:tab w:val="left" w:pos="1184"/>
          <w:tab w:val="left" w:pos="1185"/>
        </w:tabs>
        <w:spacing w:before="10" w:line="228" w:lineRule="auto"/>
        <w:ind w:right="122"/>
        <w:rPr>
          <w:sz w:val="20"/>
        </w:rPr>
      </w:pPr>
      <w:r>
        <w:rPr>
          <w:b/>
          <w:sz w:val="20"/>
        </w:rPr>
        <w:t xml:space="preserve">Annual Conference: </w:t>
      </w:r>
      <w:r>
        <w:rPr>
          <w:sz w:val="20"/>
        </w:rPr>
        <w:t xml:space="preserve">HERA’s annual conference is scheduled in a different geographic region </w:t>
      </w:r>
      <w:r>
        <w:rPr>
          <w:spacing w:val="-4"/>
          <w:sz w:val="20"/>
        </w:rPr>
        <w:t xml:space="preserve">of </w:t>
      </w:r>
      <w:r>
        <w:rPr>
          <w:sz w:val="20"/>
        </w:rPr>
        <w:t xml:space="preserve">the U.S. or international site each year. Topics </w:t>
      </w:r>
      <w:r>
        <w:rPr>
          <w:spacing w:val="-4"/>
          <w:sz w:val="20"/>
        </w:rPr>
        <w:t xml:space="preserve">of </w:t>
      </w:r>
      <w:r>
        <w:rPr>
          <w:sz w:val="20"/>
        </w:rPr>
        <w:t xml:space="preserve">current housing issues are presented by members as well as state, national and international housing leaders. Sessions, posters, and group discussions are held on the education, research and extension implications </w:t>
      </w:r>
      <w:r>
        <w:rPr>
          <w:spacing w:val="-4"/>
          <w:sz w:val="20"/>
        </w:rPr>
        <w:t xml:space="preserve">of </w:t>
      </w:r>
      <w:r>
        <w:rPr>
          <w:sz w:val="20"/>
        </w:rPr>
        <w:t xml:space="preserve">current housing trends and research. Conference proceedings include referred abstracts </w:t>
      </w:r>
      <w:r>
        <w:rPr>
          <w:spacing w:val="-4"/>
          <w:sz w:val="20"/>
        </w:rPr>
        <w:t xml:space="preserve">of </w:t>
      </w:r>
      <w:r>
        <w:rPr>
          <w:sz w:val="20"/>
        </w:rPr>
        <w:t>papers</w:t>
      </w:r>
      <w:r>
        <w:rPr>
          <w:spacing w:val="2"/>
          <w:sz w:val="20"/>
        </w:rPr>
        <w:t xml:space="preserve"> </w:t>
      </w:r>
      <w:r>
        <w:rPr>
          <w:sz w:val="20"/>
        </w:rPr>
        <w:t>presented.</w:t>
      </w:r>
    </w:p>
    <w:p w14:paraId="0DCD438B" w14:textId="77777777" w:rsidR="0045084C" w:rsidRDefault="004F397B">
      <w:pPr>
        <w:pStyle w:val="ListParagraph"/>
        <w:numPr>
          <w:ilvl w:val="0"/>
          <w:numId w:val="1"/>
        </w:numPr>
        <w:tabs>
          <w:tab w:val="left" w:pos="1184"/>
          <w:tab w:val="left" w:pos="1185"/>
        </w:tabs>
        <w:spacing w:before="16" w:line="223" w:lineRule="auto"/>
        <w:ind w:right="106"/>
        <w:rPr>
          <w:sz w:val="20"/>
        </w:rPr>
      </w:pPr>
      <w:r>
        <w:rPr>
          <w:b/>
          <w:sz w:val="20"/>
        </w:rPr>
        <w:t xml:space="preserve">Educational Resources: </w:t>
      </w:r>
      <w:r>
        <w:rPr>
          <w:sz w:val="20"/>
        </w:rPr>
        <w:t>HERA has available on-line and for purchase educational resources developed by members and committees. These include teaching tips and classroom/program</w:t>
      </w:r>
      <w:r>
        <w:rPr>
          <w:spacing w:val="-13"/>
          <w:sz w:val="20"/>
        </w:rPr>
        <w:t xml:space="preserve"> </w:t>
      </w:r>
      <w:r>
        <w:rPr>
          <w:sz w:val="20"/>
        </w:rPr>
        <w:t>ideas.</w:t>
      </w:r>
    </w:p>
    <w:p w14:paraId="16A4D72F" w14:textId="77777777" w:rsidR="0045084C" w:rsidRDefault="004F397B">
      <w:pPr>
        <w:pStyle w:val="ListParagraph"/>
        <w:numPr>
          <w:ilvl w:val="0"/>
          <w:numId w:val="1"/>
        </w:numPr>
        <w:tabs>
          <w:tab w:val="left" w:pos="1184"/>
          <w:tab w:val="left" w:pos="1185"/>
        </w:tabs>
        <w:spacing w:before="15" w:line="228" w:lineRule="auto"/>
        <w:ind w:right="125"/>
        <w:rPr>
          <w:sz w:val="20"/>
        </w:rPr>
      </w:pPr>
      <w:r>
        <w:rPr>
          <w:b/>
          <w:sz w:val="20"/>
        </w:rPr>
        <w:t xml:space="preserve">Awards: </w:t>
      </w:r>
      <w:r>
        <w:rPr>
          <w:sz w:val="20"/>
        </w:rPr>
        <w:t xml:space="preserve">Tessie </w:t>
      </w:r>
      <w:proofErr w:type="spellStart"/>
      <w:r>
        <w:rPr>
          <w:sz w:val="20"/>
        </w:rPr>
        <w:t>Agan</w:t>
      </w:r>
      <w:proofErr w:type="spellEnd"/>
      <w:r>
        <w:rPr>
          <w:sz w:val="20"/>
        </w:rPr>
        <w:t xml:space="preserve"> Scholarship, Kenneth Tremblay Early Career Housing Award, Housing Impact</w:t>
      </w:r>
      <w:r>
        <w:rPr>
          <w:spacing w:val="-28"/>
          <w:sz w:val="20"/>
        </w:rPr>
        <w:t xml:space="preserve"> </w:t>
      </w:r>
      <w:r>
        <w:rPr>
          <w:sz w:val="20"/>
        </w:rPr>
        <w:t>Award, Distinguished Service Award, International Ambassador Fellowship Award, Secondary Education Housing Teaching Award, and the Extension Housing Outreach</w:t>
      </w:r>
      <w:r>
        <w:rPr>
          <w:spacing w:val="-3"/>
          <w:sz w:val="20"/>
        </w:rPr>
        <w:t xml:space="preserve"> </w:t>
      </w:r>
      <w:r>
        <w:rPr>
          <w:sz w:val="20"/>
        </w:rPr>
        <w:t>Award.</w:t>
      </w:r>
    </w:p>
    <w:p w14:paraId="4CDFD594" w14:textId="77777777" w:rsidR="0045084C" w:rsidRPr="006A7AAA" w:rsidRDefault="004F397B">
      <w:pPr>
        <w:pStyle w:val="Heading1"/>
        <w:spacing w:before="160"/>
        <w:rPr>
          <w:sz w:val="20"/>
          <w:szCs w:val="20"/>
        </w:rPr>
      </w:pPr>
      <w:r w:rsidRPr="006A7AAA">
        <w:rPr>
          <w:sz w:val="20"/>
          <w:szCs w:val="20"/>
        </w:rPr>
        <w:t>Library Journal Subscriptions</w:t>
      </w:r>
    </w:p>
    <w:p w14:paraId="42116EC0" w14:textId="345A51AF" w:rsidR="0045084C" w:rsidRPr="006A7AAA" w:rsidRDefault="004F397B">
      <w:pPr>
        <w:pStyle w:val="Heading2"/>
        <w:spacing w:before="4" w:line="228" w:lineRule="auto"/>
        <w:rPr>
          <w:sz w:val="20"/>
          <w:szCs w:val="20"/>
        </w:rPr>
      </w:pPr>
      <w:r w:rsidRPr="006A7AAA">
        <w:rPr>
          <w:sz w:val="20"/>
          <w:szCs w:val="20"/>
        </w:rPr>
        <w:t>Libraries may subscribe to the journal, Housing &amp; Society, the official publication of HERA. To subscribe, go to: housingeducators.org/publications and click on “Access Journal Articles” button. (Online access only =</w:t>
      </w:r>
    </w:p>
    <w:p w14:paraId="31D28960" w14:textId="28A42D12" w:rsidR="0045084C" w:rsidRPr="006A7AAA" w:rsidRDefault="008E0CD2">
      <w:pPr>
        <w:spacing w:line="242" w:lineRule="exact"/>
        <w:ind w:left="306"/>
        <w:rPr>
          <w:sz w:val="20"/>
          <w:szCs w:val="20"/>
        </w:rPr>
      </w:pPr>
      <w:r w:rsidRPr="006A7AAA">
        <w:rPr>
          <w:noProof/>
          <w:sz w:val="20"/>
          <w:szCs w:val="20"/>
        </w:rPr>
        <mc:AlternateContent>
          <mc:Choice Requires="wps">
            <w:drawing>
              <wp:anchor distT="0" distB="0" distL="0" distR="0" simplePos="0" relativeHeight="251656704" behindDoc="1" locked="0" layoutInCell="1" allowOverlap="1" wp14:anchorId="381DDF0C" wp14:editId="11D8C807">
                <wp:simplePos x="0" y="0"/>
                <wp:positionH relativeFrom="margin">
                  <wp:align>right</wp:align>
                </wp:positionH>
                <wp:positionV relativeFrom="paragraph">
                  <wp:posOffset>188595</wp:posOffset>
                </wp:positionV>
                <wp:extent cx="6681470" cy="700405"/>
                <wp:effectExtent l="0" t="0" r="24130" b="234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7004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7B3F93" w14:textId="77777777" w:rsidR="0045084C" w:rsidRDefault="0045084C">
                            <w:pPr>
                              <w:pStyle w:val="BodyText"/>
                              <w:spacing w:before="3"/>
                            </w:pPr>
                          </w:p>
                          <w:p w14:paraId="3D42B1E2" w14:textId="0BAF41EA" w:rsidR="0045084C" w:rsidRDefault="004F397B">
                            <w:pPr>
                              <w:spacing w:line="223" w:lineRule="auto"/>
                              <w:ind w:left="125" w:right="134" w:firstLine="9"/>
                              <w:jc w:val="both"/>
                              <w:rPr>
                                <w:rFonts w:ascii="Times New Roman"/>
                                <w:i/>
                                <w:sz w:val="18"/>
                              </w:rPr>
                            </w:pPr>
                            <w:r>
                              <w:rPr>
                                <w:rFonts w:ascii="Times New Roman"/>
                                <w:i/>
                                <w:sz w:val="18"/>
                              </w:rPr>
                              <w:t>At HERA our mission is to increase the effectiveness of housing education at all levels, develop expertise in and expand the out- reach of educators and researchers by coordinating efforts among professionals in housing, disseminate information on current developments in housing and promote recruitment of students to advance the study of housing and to increase the quality and</w:t>
                            </w:r>
                            <w:r w:rsidR="008E0CD2">
                              <w:rPr>
                                <w:rFonts w:ascii="Times New Roman"/>
                                <w:i/>
                                <w:sz w:val="18"/>
                              </w:rPr>
                              <w:t xml:space="preserve"> quantity of professionals in the 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DDF0C" id="_x0000_t202" coordsize="21600,21600" o:spt="202" path="m,l,21600r21600,l21600,xe">
                <v:stroke joinstyle="miter"/>
                <v:path gradientshapeok="t" o:connecttype="rect"/>
              </v:shapetype>
              <v:shape id="Text Box 2" o:spid="_x0000_s1027" type="#_x0000_t202" style="position:absolute;left:0;text-align:left;margin-left:474.9pt;margin-top:14.85pt;width:526.1pt;height:55.15pt;z-index:-2516597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" filled="f" strokeweight=".5pt">
                <v:textbox inset="0,0,0,0">
                  <w:txbxContent>
                    <w:p w14:paraId="327B3F93" w14:textId="77777777" w:rsidR="0045084C" w:rsidRDefault="0045084C">
                      <w:pPr>
                        <w:pStyle w:val="BodyText"/>
                        <w:spacing w:before="3"/>
                      </w:pPr>
                    </w:p>
                    <w:p w14:paraId="3D42B1E2" w14:textId="0BAF41EA" w:rsidR="0045084C" w:rsidRDefault="004F397B">
                      <w:pPr>
                        <w:spacing w:line="223" w:lineRule="auto"/>
                        <w:ind w:left="125" w:right="134" w:firstLine="9"/>
                        <w:jc w:val="both"/>
                        <w:rPr>
                          <w:rFonts w:ascii="Times New Roman"/>
                          <w:i/>
                          <w:sz w:val="18"/>
                        </w:rPr>
                      </w:pPr>
                      <w:r>
                        <w:rPr>
                          <w:rFonts w:ascii="Times New Roman"/>
                          <w:i/>
                          <w:sz w:val="18"/>
                        </w:rPr>
                        <w:t>At HERA our mission is to increase the effectiveness of housing education at all levels, develop expertise in and expand the out- reach of educators and researchers by coordinating efforts among professionals in housing, disseminate information on current developments in housing and promote recruitment of students to advance the study of housing and to increase the quality and</w:t>
                      </w:r>
                      <w:r w:rsidR="008E0CD2">
                        <w:rPr>
                          <w:rFonts w:ascii="Times New Roman"/>
                          <w:i/>
                          <w:sz w:val="18"/>
                        </w:rPr>
                        <w:t xml:space="preserve"> quantity of professionals in the field.</w:t>
                      </w:r>
                    </w:p>
                  </w:txbxContent>
                </v:textbox>
                <w10:wrap type="topAndBottom" anchorx="margin"/>
              </v:shape>
            </w:pict>
          </mc:Fallback>
        </mc:AlternateContent>
      </w:r>
      <w:r w:rsidR="004F397B" w:rsidRPr="006A7AAA">
        <w:rPr>
          <w:sz w:val="20"/>
          <w:szCs w:val="20"/>
        </w:rPr>
        <w:t>$375 or print AND online access = $441.)</w:t>
      </w:r>
      <w:bookmarkStart w:id="0" w:name="_GoBack"/>
      <w:bookmarkEnd w:id="0"/>
    </w:p>
    <w:p w14:paraId="74ED089B" w14:textId="58D2C388" w:rsidR="0045084C" w:rsidRDefault="0045084C">
      <w:pPr>
        <w:pStyle w:val="BodyText"/>
        <w:spacing w:before="5"/>
        <w:rPr>
          <w:sz w:val="9"/>
        </w:rPr>
      </w:pPr>
    </w:p>
    <w:sectPr w:rsidR="0045084C">
      <w:type w:val="continuous"/>
      <w:pgSz w:w="12240" w:h="15840"/>
      <w:pgMar w:top="360" w:right="840" w:bottom="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E32AB"/>
    <w:multiLevelType w:val="hybridMultilevel"/>
    <w:tmpl w:val="F556819E"/>
    <w:lvl w:ilvl="0" w:tplc="F1644258">
      <w:numFmt w:val="bullet"/>
      <w:lvlText w:val=""/>
      <w:lvlJc w:val="left"/>
      <w:pPr>
        <w:ind w:left="1184" w:hanging="360"/>
      </w:pPr>
      <w:rPr>
        <w:rFonts w:ascii="Symbol" w:eastAsia="Symbol" w:hAnsi="Symbol" w:cs="Symbol" w:hint="default"/>
        <w:w w:val="100"/>
        <w:sz w:val="20"/>
        <w:szCs w:val="20"/>
        <w:lang w:val="en-US" w:eastAsia="en-US" w:bidi="en-US"/>
      </w:rPr>
    </w:lvl>
    <w:lvl w:ilvl="1" w:tplc="7DEC4E68">
      <w:numFmt w:val="bullet"/>
      <w:lvlText w:val="•"/>
      <w:lvlJc w:val="left"/>
      <w:pPr>
        <w:ind w:left="2150" w:hanging="360"/>
      </w:pPr>
      <w:rPr>
        <w:rFonts w:hint="default"/>
        <w:lang w:val="en-US" w:eastAsia="en-US" w:bidi="en-US"/>
      </w:rPr>
    </w:lvl>
    <w:lvl w:ilvl="2" w:tplc="81C0492C">
      <w:numFmt w:val="bullet"/>
      <w:lvlText w:val="•"/>
      <w:lvlJc w:val="left"/>
      <w:pPr>
        <w:ind w:left="3120" w:hanging="360"/>
      </w:pPr>
      <w:rPr>
        <w:rFonts w:hint="default"/>
        <w:lang w:val="en-US" w:eastAsia="en-US" w:bidi="en-US"/>
      </w:rPr>
    </w:lvl>
    <w:lvl w:ilvl="3" w:tplc="84C4C1BA">
      <w:numFmt w:val="bullet"/>
      <w:lvlText w:val="•"/>
      <w:lvlJc w:val="left"/>
      <w:pPr>
        <w:ind w:left="4090" w:hanging="360"/>
      </w:pPr>
      <w:rPr>
        <w:rFonts w:hint="default"/>
        <w:lang w:val="en-US" w:eastAsia="en-US" w:bidi="en-US"/>
      </w:rPr>
    </w:lvl>
    <w:lvl w:ilvl="4" w:tplc="B81A47C8">
      <w:numFmt w:val="bullet"/>
      <w:lvlText w:val="•"/>
      <w:lvlJc w:val="left"/>
      <w:pPr>
        <w:ind w:left="5060" w:hanging="360"/>
      </w:pPr>
      <w:rPr>
        <w:rFonts w:hint="default"/>
        <w:lang w:val="en-US" w:eastAsia="en-US" w:bidi="en-US"/>
      </w:rPr>
    </w:lvl>
    <w:lvl w:ilvl="5" w:tplc="5558A6A8">
      <w:numFmt w:val="bullet"/>
      <w:lvlText w:val="•"/>
      <w:lvlJc w:val="left"/>
      <w:pPr>
        <w:ind w:left="6030" w:hanging="360"/>
      </w:pPr>
      <w:rPr>
        <w:rFonts w:hint="default"/>
        <w:lang w:val="en-US" w:eastAsia="en-US" w:bidi="en-US"/>
      </w:rPr>
    </w:lvl>
    <w:lvl w:ilvl="6" w:tplc="07046DFA">
      <w:numFmt w:val="bullet"/>
      <w:lvlText w:val="•"/>
      <w:lvlJc w:val="left"/>
      <w:pPr>
        <w:ind w:left="7000" w:hanging="360"/>
      </w:pPr>
      <w:rPr>
        <w:rFonts w:hint="default"/>
        <w:lang w:val="en-US" w:eastAsia="en-US" w:bidi="en-US"/>
      </w:rPr>
    </w:lvl>
    <w:lvl w:ilvl="7" w:tplc="70D62D66">
      <w:numFmt w:val="bullet"/>
      <w:lvlText w:val="•"/>
      <w:lvlJc w:val="left"/>
      <w:pPr>
        <w:ind w:left="7970" w:hanging="360"/>
      </w:pPr>
      <w:rPr>
        <w:rFonts w:hint="default"/>
        <w:lang w:val="en-US" w:eastAsia="en-US" w:bidi="en-US"/>
      </w:rPr>
    </w:lvl>
    <w:lvl w:ilvl="8" w:tplc="FFB8EA84">
      <w:numFmt w:val="bullet"/>
      <w:lvlText w:val="•"/>
      <w:lvlJc w:val="left"/>
      <w:pPr>
        <w:ind w:left="894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4C"/>
    <w:rsid w:val="00062B4E"/>
    <w:rsid w:val="002143DF"/>
    <w:rsid w:val="0045084C"/>
    <w:rsid w:val="004F397B"/>
    <w:rsid w:val="006A7AAA"/>
    <w:rsid w:val="007D44BB"/>
    <w:rsid w:val="008E0CD2"/>
    <w:rsid w:val="00E40B87"/>
    <w:rsid w:val="00F035DA"/>
    <w:rsid w:val="00F5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59EA"/>
  <w15:docId w15:val="{B9DF161B-261E-4E03-A8C6-DE2186E9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42" w:line="246" w:lineRule="exact"/>
      <w:ind w:left="306"/>
      <w:outlineLvl w:val="0"/>
    </w:pPr>
    <w:rPr>
      <w:b/>
      <w:bCs/>
    </w:rPr>
  </w:style>
  <w:style w:type="paragraph" w:styleId="Heading2">
    <w:name w:val="heading 2"/>
    <w:basedOn w:val="Normal"/>
    <w:uiPriority w:val="9"/>
    <w:unhideWhenUsed/>
    <w:qFormat/>
    <w:pPr>
      <w:ind w:left="306"/>
      <w:outlineLvl w:val="1"/>
    </w:pPr>
  </w:style>
  <w:style w:type="paragraph" w:styleId="Heading3">
    <w:name w:val="heading 3"/>
    <w:basedOn w:val="Normal"/>
    <w:uiPriority w:val="9"/>
    <w:unhideWhenUsed/>
    <w:qFormat/>
    <w:pPr>
      <w:ind w:left="392"/>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118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raball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Barbara</dc:creator>
  <cp:lastModifiedBy>Allen, Barbara</cp:lastModifiedBy>
  <cp:revision>6</cp:revision>
  <cp:lastPrinted>2019-11-21T18:24:00Z</cp:lastPrinted>
  <dcterms:created xsi:type="dcterms:W3CDTF">2019-11-21T20:42:00Z</dcterms:created>
  <dcterms:modified xsi:type="dcterms:W3CDTF">2019-11-21T22:10:00Z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Publisher for Office 365</vt:lpwstr>
  </property>
  <property fmtid="{D5CDD505-2E9C-101B-9397-08002B2CF9AE}" pid="4" name="LastSaved">
    <vt:filetime>2019-11-20T00:00:00Z</vt:filetime>
  </property>
</Properties>
</file>